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7B" w:rsidRDefault="00836635" w:rsidP="005624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62419">
        <w:rPr>
          <w:rFonts w:ascii="Times New Roman" w:hAnsi="Times New Roman" w:cs="Times New Roman"/>
          <w:b/>
          <w:caps/>
          <w:sz w:val="20"/>
          <w:szCs w:val="20"/>
        </w:rPr>
        <w:t>НИЗКОЧАСТОТНАЯ ИМПУЛЬСНАЯ ЭЛЕКТРОТЕРАПИЯ КАК МЕТОД ПРЕГРАВИДАРНОЙ ПОДГОТОВКИ У ПАЦИЕНТОК С «ТОНКИМ» ЭНДОМЕТРИЕМ КАК СЛЕДСТВИЕМ ХРОНИЧЕСКОГО ЭНДОМЕТРИТА В ПРОТОКОЛАХ ЭКО</w:t>
      </w:r>
    </w:p>
    <w:p w:rsidR="00562419" w:rsidRPr="00562419" w:rsidRDefault="00562419" w:rsidP="005624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562419" w:rsidRDefault="00836635" w:rsidP="005624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562419">
        <w:rPr>
          <w:rFonts w:ascii="Times New Roman" w:hAnsi="Times New Roman" w:cs="Times New Roman"/>
          <w:b/>
          <w:i/>
          <w:sz w:val="20"/>
          <w:szCs w:val="20"/>
        </w:rPr>
        <w:t xml:space="preserve">Астафьева Е.К., Силантьева Е.С., </w:t>
      </w:r>
      <w:proofErr w:type="spellStart"/>
      <w:r w:rsidRPr="00562419">
        <w:rPr>
          <w:rFonts w:ascii="Times New Roman" w:hAnsi="Times New Roman" w:cs="Times New Roman"/>
          <w:b/>
          <w:i/>
          <w:sz w:val="20"/>
          <w:szCs w:val="20"/>
        </w:rPr>
        <w:t>Овчинникова</w:t>
      </w:r>
      <w:proofErr w:type="spellEnd"/>
      <w:r w:rsidRPr="00562419">
        <w:rPr>
          <w:rFonts w:ascii="Times New Roman" w:hAnsi="Times New Roman" w:cs="Times New Roman"/>
          <w:b/>
          <w:i/>
          <w:sz w:val="20"/>
          <w:szCs w:val="20"/>
        </w:rPr>
        <w:t xml:space="preserve"> М.М., </w:t>
      </w:r>
      <w:proofErr w:type="spellStart"/>
      <w:r w:rsidRPr="00562419">
        <w:rPr>
          <w:rFonts w:ascii="Times New Roman" w:hAnsi="Times New Roman" w:cs="Times New Roman"/>
          <w:b/>
          <w:i/>
          <w:sz w:val="20"/>
          <w:szCs w:val="20"/>
        </w:rPr>
        <w:t>Камилова</w:t>
      </w:r>
      <w:proofErr w:type="spellEnd"/>
      <w:r w:rsidRPr="00562419">
        <w:rPr>
          <w:rFonts w:ascii="Times New Roman" w:hAnsi="Times New Roman" w:cs="Times New Roman"/>
          <w:b/>
          <w:i/>
          <w:sz w:val="20"/>
          <w:szCs w:val="20"/>
        </w:rPr>
        <w:t xml:space="preserve"> Д.П., </w:t>
      </w:r>
    </w:p>
    <w:p w:rsidR="00836635" w:rsidRDefault="00836635" w:rsidP="005624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562419">
        <w:rPr>
          <w:rFonts w:ascii="Times New Roman" w:hAnsi="Times New Roman" w:cs="Times New Roman"/>
          <w:b/>
          <w:i/>
          <w:sz w:val="20"/>
          <w:szCs w:val="20"/>
        </w:rPr>
        <w:t>Кутакова</w:t>
      </w:r>
      <w:proofErr w:type="spellEnd"/>
      <w:r w:rsidRPr="00562419">
        <w:rPr>
          <w:rFonts w:ascii="Times New Roman" w:hAnsi="Times New Roman" w:cs="Times New Roman"/>
          <w:b/>
          <w:i/>
          <w:sz w:val="20"/>
          <w:szCs w:val="20"/>
        </w:rPr>
        <w:t xml:space="preserve"> Ю.Ю., </w:t>
      </w:r>
      <w:proofErr w:type="spellStart"/>
      <w:r w:rsidRPr="00562419">
        <w:rPr>
          <w:rFonts w:ascii="Times New Roman" w:hAnsi="Times New Roman" w:cs="Times New Roman"/>
          <w:b/>
          <w:i/>
          <w:sz w:val="20"/>
          <w:szCs w:val="20"/>
        </w:rPr>
        <w:t>Курцер</w:t>
      </w:r>
      <w:proofErr w:type="spellEnd"/>
      <w:r w:rsidRPr="00562419">
        <w:rPr>
          <w:rFonts w:ascii="Times New Roman" w:hAnsi="Times New Roman" w:cs="Times New Roman"/>
          <w:b/>
          <w:i/>
          <w:sz w:val="20"/>
          <w:szCs w:val="20"/>
        </w:rPr>
        <w:t xml:space="preserve"> М.А.</w:t>
      </w:r>
      <w:r w:rsidR="0071667D" w:rsidRPr="00562419">
        <w:rPr>
          <w:rFonts w:ascii="Times New Roman" w:hAnsi="Times New Roman" w:cs="Times New Roman"/>
          <w:b/>
          <w:i/>
          <w:sz w:val="20"/>
          <w:szCs w:val="20"/>
        </w:rPr>
        <w:br/>
      </w:r>
      <w:r w:rsidRPr="00562419">
        <w:rPr>
          <w:rFonts w:ascii="Times New Roman" w:hAnsi="Times New Roman" w:cs="Times New Roman"/>
          <w:b/>
          <w:i/>
          <w:sz w:val="20"/>
          <w:szCs w:val="20"/>
        </w:rPr>
        <w:t xml:space="preserve">Клинический Госпиталь </w:t>
      </w:r>
      <w:proofErr w:type="spellStart"/>
      <w:r w:rsidRPr="00562419">
        <w:rPr>
          <w:rFonts w:ascii="Times New Roman" w:hAnsi="Times New Roman" w:cs="Times New Roman"/>
          <w:b/>
          <w:i/>
          <w:sz w:val="20"/>
          <w:szCs w:val="20"/>
        </w:rPr>
        <w:t>Лапино</w:t>
      </w:r>
      <w:proofErr w:type="spellEnd"/>
      <w:r w:rsidRPr="00562419">
        <w:rPr>
          <w:rFonts w:ascii="Times New Roman" w:hAnsi="Times New Roman" w:cs="Times New Roman"/>
          <w:b/>
          <w:i/>
          <w:sz w:val="20"/>
          <w:szCs w:val="20"/>
        </w:rPr>
        <w:t xml:space="preserve"> «Мать и Дитя»</w:t>
      </w:r>
      <w:r w:rsidR="00562419" w:rsidRPr="00562419">
        <w:rPr>
          <w:rFonts w:ascii="Times New Roman" w:hAnsi="Times New Roman" w:cs="Times New Roman"/>
          <w:b/>
          <w:i/>
          <w:sz w:val="20"/>
          <w:szCs w:val="20"/>
        </w:rPr>
        <w:t>,</w:t>
      </w:r>
      <w:r w:rsidRPr="00562419">
        <w:rPr>
          <w:rFonts w:ascii="Times New Roman" w:hAnsi="Times New Roman" w:cs="Times New Roman"/>
          <w:b/>
          <w:i/>
          <w:sz w:val="20"/>
          <w:szCs w:val="20"/>
        </w:rPr>
        <w:t xml:space="preserve"> Московская область, Одинцовский район</w:t>
      </w:r>
    </w:p>
    <w:p w:rsidR="00562419" w:rsidRPr="00562419" w:rsidRDefault="00562419" w:rsidP="005624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0092C" w:rsidRPr="00836635" w:rsidRDefault="00D0092C" w:rsidP="00562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Актуальность: одним из достоверно значимых критериев для успешной имплантации эмбрионов является толщина эндометрия. Рассматривая «тонкий» эндометрий с позиции фиброзирования стромы и регионарного капиллярного русла в следствии хронического эндометрита можно сделать вывод о необходимости прегравидарной подготовки для увеличения вероятности наступления беременности и снижения рисков ее прерывания на различных сроках.</w:t>
      </w:r>
    </w:p>
    <w:p w:rsidR="00D0092C" w:rsidRPr="00836635" w:rsidRDefault="00D0092C" w:rsidP="00562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Цель: доказать эффективность использования низкочастотной импульсной электротерапии в качестве основного метода прегравидарной подготовки у пациенток в протоколах ЭКО с «тонким» эндометрием как проявлением хронического эндометрита.</w:t>
      </w:r>
    </w:p>
    <w:p w:rsidR="00D0092C" w:rsidRPr="00836635" w:rsidRDefault="00D0092C" w:rsidP="00562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Материал и методы: проведено ретроспективное исследование на базе Клинического Госпиталя Лапино, в которое вошли 81 пациентка. Изучены клинико-анамнестические данные. Критерии включения: возраст 18-39 лет, гистологически подтвержденный хронический эндометрит, толщина эндометрия меньше или равна 7 мм на 5-7 день после овуляции - период «имплантационного окна», две неудачи при переносе эмбриона хорошего качества в анамнезе. Критерии исключения: патология эндометрия, требующая хирургического лечения, общие противопоказания к физиотерапии, морфологическая характеристика переносимых эмбрионов ниже 3ВВ. Всем пациенткам выполнялась трансвагинальная  эхография органов малого таза, а так же цветовое допплеровское картирование, доплерометрия сосудов матки на 5-7 день менструального цикла после овуляции. Обеим группам пациентов первично  проводился курс антибактериальной терапии. Методом простой рандомизации пациенты были поделены на 2 группы. I группе пациентов (n=49) проводился 1 курс низкочастотной электротерапии на аппарате «BTL-4000-Premium G», Великобриания по методикам 1.1-электроимпульсная терапия и 3.1-интерференцтерапия из библиотеки предустановленных методик с позиции воздействия на фиброзирующие и склеротические процессы в эндометрии, влияния на регионарный кровоток. Менструальный цикл после курса физиотерапии был циклом покоя. Пациенты II группы (n=32) получали только медикаментозную терапию. Для пациенток обеих групп проводились идентичные протоколы медикаментозной поддержки и переноса эмбрионов в протоколах ЭКО.</w:t>
      </w:r>
    </w:p>
    <w:p w:rsidR="00D0092C" w:rsidRPr="00836635" w:rsidRDefault="00D0092C" w:rsidP="00562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Результаты исследования: всем пациенткам, вошедшим в I и II группы, было выполнено ЭКО и ПЭ. В  I группе беременность наступила в 30,6% случаев (n=15). В 20% случаев произошла потеря беременности (n=3). В 80% беременность закончилась своевременными родами (n=12). У II группы беременность наступила в 9,4% случаев (n=3), из них потеря беременности произошла в 66,7% (n=2) случаях, своевременные роды произошли в 33,3% (n=1).</w:t>
      </w:r>
    </w:p>
    <w:p w:rsidR="00D0092C" w:rsidRPr="00836635" w:rsidRDefault="00D0092C" w:rsidP="00562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Заключение: использование низкочастотной электротерапии в качестве прегравидарной подготовки при «тонком» эндометрии позволяет увеличить толщину эндометрия, нормализовать маточную гемодинамику в регионарных сосудах. Это, в свою очередь, приводит к повышению имплантационного потенциала эндометрия, увеличению вероятности наступления беременности и живорождения.</w:t>
      </w:r>
    </w:p>
    <w:p w:rsidR="00D0092C" w:rsidRPr="00836635" w:rsidRDefault="00D0092C" w:rsidP="00562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D0092C" w:rsidRPr="00836635" w:rsidSect="005624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635"/>
    <w:rsid w:val="001661CC"/>
    <w:rsid w:val="00562419"/>
    <w:rsid w:val="0071667D"/>
    <w:rsid w:val="00836635"/>
    <w:rsid w:val="009B1C67"/>
    <w:rsid w:val="00D0092C"/>
    <w:rsid w:val="00F256D7"/>
    <w:rsid w:val="00FB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Ishtvan</dc:creator>
  <cp:keywords/>
  <dc:description/>
  <cp:lastModifiedBy>LR-002</cp:lastModifiedBy>
  <cp:revision>5</cp:revision>
  <dcterms:created xsi:type="dcterms:W3CDTF">2015-02-08T23:39:00Z</dcterms:created>
  <dcterms:modified xsi:type="dcterms:W3CDTF">2018-06-07T08:16:00Z</dcterms:modified>
</cp:coreProperties>
</file>